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丽水市生活垃圾分类收运服务单位</w:t>
      </w:r>
    </w:p>
    <w:p>
      <w:pPr>
        <w:jc w:val="center"/>
        <w:rPr>
          <w:color w:val="auto"/>
        </w:rPr>
      </w:pPr>
      <w:r>
        <w:rPr>
          <w:rFonts w:hint="eastAsia" w:ascii="方正小标宋简体" w:hAnsi="方正小标宋简体" w:eastAsia="方正小标宋简体" w:cs="方正小标宋简体"/>
          <w:color w:val="auto"/>
          <w:sz w:val="44"/>
          <w:szCs w:val="44"/>
        </w:rPr>
        <w:t>管理办法（征求意见稿）</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为全面落实全市生活垃圾分类工作推进会</w:t>
      </w:r>
      <w:r>
        <w:rPr>
          <w:rFonts w:hint="eastAsia" w:ascii="仿宋_GB2312" w:hAnsi="Calibri" w:eastAsia="仿宋_GB2312" w:cs="Times New Roman"/>
          <w:sz w:val="32"/>
          <w:szCs w:val="32"/>
          <w:lang w:val="en-US" w:eastAsia="zh-CN"/>
        </w:rPr>
        <w:t>和</w:t>
      </w:r>
      <w:r>
        <w:rPr>
          <w:rFonts w:hint="eastAsia" w:ascii="仿宋_GB2312" w:hAnsi="Calibri" w:eastAsia="仿宋_GB2312" w:cs="Times New Roman"/>
          <w:sz w:val="32"/>
          <w:szCs w:val="32"/>
        </w:rPr>
        <w:t>市政府第87次常务会议精神，进一步加强我市生活垃圾分类收集运输工作，规范生活垃圾分类收集运输服务，美化城市环境，根据《城市生活垃圾管理办法》</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《浙江省生活垃圾管理条例》等要求，结合本市实际，特制定本管理办法。</w:t>
      </w:r>
    </w:p>
    <w:p>
      <w:pPr>
        <w:pStyle w:val="5"/>
        <w:widowControl/>
        <w:spacing w:before="40" w:line="300" w:lineRule="atLeast"/>
        <w:ind w:firstLine="643" w:firstLineChars="200"/>
        <w:jc w:val="left"/>
        <w:rPr>
          <w:rFonts w:hint="eastAsia" w:ascii="黑体" w:hAnsi="黑体" w:eastAsia="黑体" w:cs="黑体"/>
          <w:b/>
          <w:color w:val="auto"/>
          <w:sz w:val="32"/>
          <w:szCs w:val="32"/>
        </w:rPr>
      </w:pPr>
      <w:r>
        <w:rPr>
          <w:rFonts w:hint="eastAsia" w:ascii="黑体" w:hAnsi="黑体" w:eastAsia="黑体" w:cs="黑体"/>
          <w:b/>
          <w:color w:val="auto"/>
          <w:sz w:val="32"/>
          <w:szCs w:val="32"/>
        </w:rPr>
        <w:t>一、总体要求</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以“创新、协调、绿色、开放、共享”五大发展理念为指导，坚持全程分类，健全生活垃圾分类收集运输网络，强化生活垃圾分类收运服务单位管理，全面提升和完善生活垃圾分类收集运输体系。</w:t>
      </w:r>
    </w:p>
    <w:p>
      <w:pPr>
        <w:pStyle w:val="5"/>
        <w:widowControl/>
        <w:spacing w:before="40" w:line="300" w:lineRule="atLeast"/>
        <w:ind w:firstLine="643" w:firstLineChars="200"/>
        <w:jc w:val="left"/>
        <w:rPr>
          <w:rFonts w:hint="eastAsia" w:ascii="黑体" w:hAnsi="黑体" w:eastAsia="黑体" w:cs="黑体"/>
          <w:b/>
          <w:color w:val="auto"/>
          <w:sz w:val="32"/>
          <w:szCs w:val="32"/>
        </w:rPr>
      </w:pPr>
      <w:r>
        <w:rPr>
          <w:rFonts w:hint="eastAsia" w:ascii="黑体" w:hAnsi="黑体" w:eastAsia="黑体" w:cs="黑体"/>
          <w:b/>
          <w:color w:val="auto"/>
          <w:sz w:val="32"/>
          <w:szCs w:val="32"/>
        </w:rPr>
        <w:t>二、实施范围</w:t>
      </w:r>
    </w:p>
    <w:p>
      <w:pPr>
        <w:ind w:firstLine="640" w:firstLineChars="200"/>
        <w:jc w:val="left"/>
        <w:rPr>
          <w:rFonts w:ascii="仿宋_GB2312" w:hAnsi="仿宋_GB2312" w:eastAsia="仿宋_GB2312" w:cs="仿宋_GB2312"/>
          <w:color w:val="auto"/>
          <w:sz w:val="28"/>
          <w:szCs w:val="28"/>
        </w:rPr>
      </w:pPr>
      <w:r>
        <w:rPr>
          <w:rFonts w:hint="eastAsia" w:ascii="仿宋_GB2312" w:hAnsi="Calibri" w:eastAsia="仿宋_GB2312" w:cs="Times New Roman"/>
          <w:sz w:val="32"/>
          <w:szCs w:val="32"/>
        </w:rPr>
        <w:t>实施范围为全市各县（市、区）、开发区的建成区，乡镇由各（县、市）区根据实际参照执行。</w:t>
      </w:r>
    </w:p>
    <w:p>
      <w:pPr>
        <w:pStyle w:val="5"/>
        <w:widowControl/>
        <w:spacing w:before="40" w:line="300" w:lineRule="atLeast"/>
        <w:ind w:firstLine="643" w:firstLineChars="200"/>
        <w:jc w:val="left"/>
        <w:rPr>
          <w:rFonts w:hint="eastAsia" w:ascii="黑体" w:hAnsi="黑体" w:eastAsia="黑体" w:cs="黑体"/>
          <w:b/>
          <w:color w:val="auto"/>
          <w:sz w:val="32"/>
          <w:szCs w:val="32"/>
        </w:rPr>
      </w:pPr>
      <w:r>
        <w:rPr>
          <w:rFonts w:hint="eastAsia" w:ascii="黑体" w:hAnsi="黑体" w:eastAsia="黑体" w:cs="黑体"/>
          <w:b/>
          <w:color w:val="auto"/>
          <w:sz w:val="32"/>
          <w:szCs w:val="32"/>
        </w:rPr>
        <w:t>三、主要内容</w:t>
      </w:r>
    </w:p>
    <w:p>
      <w:pPr>
        <w:pStyle w:val="5"/>
        <w:widowControl/>
        <w:spacing w:before="40" w:line="10" w:lineRule="atLeas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（一）建立生活垃圾中转站垃圾收集车辆信息管理制度</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为推进生活垃圾信息化监管平台建设，全市所有进入生活垃圾中转站作业的垃圾收集车辆均需实行登记管理。由取得城市生活垃圾经营性清扫、收集、运输服务许可证的单位或自行收集、运输城镇生活垃圾的物业企业向属地市容环卫主管部门提出垃圾收集车辆登记申请(示例见附件1)，属地市容环卫主管部门要对相关企业和车辆垃圾分类收集运输条件进行检查确认后，进行统一登记(示例见附件2)，建立企业和车辆管理信息库，对其加强动态管理，企业和车辆信息逐步录入丽水市生活垃圾信息化监管平台。</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生活垃圾分类收运服务单位应符合以下生活垃圾收集、运输单位的条件：</w:t>
      </w:r>
    </w:p>
    <w:p>
      <w:pPr>
        <w:spacing w:line="560" w:lineRule="exact"/>
        <w:ind w:firstLine="630" w:firstLineChars="196"/>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1.一般要求</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①与经营规模相匹配的办公场所。</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②具备完善的行政技术、安全生产、质量管理、车辆设备及教育培训等管理制度及相应岗位人员。</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③制定有科学合理的应对特殊天气、重大事故或自然灾害应急预案。</w:t>
      </w:r>
    </w:p>
    <w:p>
      <w:pPr>
        <w:spacing w:line="560" w:lineRule="exact"/>
        <w:ind w:firstLine="630" w:firstLineChars="196"/>
        <w:rPr>
          <w:rFonts w:hint="eastAsia" w:ascii="仿宋_GB2312" w:hAnsi="Calibri" w:eastAsia="仿宋_GB2312" w:cs="Times New Roman"/>
          <w:b/>
          <w:bCs/>
          <w:sz w:val="32"/>
          <w:szCs w:val="32"/>
        </w:rPr>
      </w:pPr>
      <w:r>
        <w:rPr>
          <w:rFonts w:hint="eastAsia" w:ascii="仿宋_GB2312" w:hAnsi="Calibri" w:eastAsia="仿宋_GB2312" w:cs="Times New Roman"/>
          <w:b/>
          <w:bCs/>
          <w:sz w:val="32"/>
          <w:szCs w:val="32"/>
        </w:rPr>
        <w:t>2.车辆及设备基本要求</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①生活垃圾分类收集运输车辆须满足服务需求，符合专业车辆要求。</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②所属车辆、设备必须注册在本单位名下。</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③车辆属于生活垃圾分类密闭运输的专用车辆，具有防臭味扩散、防遗撒、防渗滤液滴漏等功能。</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④车辆外观应按照《丽水市垃圾分类作业车辆视觉形象设计》（详见附件3）的要求，与垃圾类别、分类容器颜色及标志对应，统一喷印单位名称、车辆编号、分类标志、监督电话和丽水城市标志，分类标志的样式和颜色符合现行国家生活垃圾分类标志（GB/T19095－2019）和浙江省城镇生活垃圾分类标准（DB33/T1166－2019）的规定。分类运输车辆箱体上标志框外箱体颜色：其他垃圾采用灰色、易腐垃圾采用绿色，有害垃圾采用红色，可回收物采用蓝色。车辆尺寸有与《丽水市垃圾分类作业车辆视觉形象设计》不一致的，可根据实际适当进行调整。</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各县（市、区）也可统一制定并执行本辖区的《垃圾分类作业车辆视觉形象设计标准》。</w:t>
      </w:r>
    </w:p>
    <w:p>
      <w:pPr>
        <w:spacing w:line="560" w:lineRule="exact"/>
        <w:ind w:firstLine="627" w:firstLineChars="196"/>
        <w:rPr>
          <w:rFonts w:ascii="仿宋_GB2312" w:hAnsi="仿宋_GB2312" w:eastAsia="仿宋_GB2312" w:cs="仿宋_GB2312"/>
          <w:color w:val="auto"/>
          <w:sz w:val="28"/>
          <w:szCs w:val="28"/>
        </w:rPr>
      </w:pPr>
      <w:r>
        <w:rPr>
          <w:rFonts w:hint="eastAsia" w:ascii="仿宋_GB2312" w:hAnsi="Calibri" w:eastAsia="仿宋_GB2312" w:cs="Times New Roman"/>
          <w:sz w:val="32"/>
          <w:szCs w:val="32"/>
        </w:rPr>
        <w:t>⑤车辆粘贴反光标贴。机动车还需安装具有反光功能的放大号牌，安装符合国家标准的卫星定位系统、行车及装卸记录仪等设备，相应数据信息接入丽水市垃圾分类信息化监管平台。</w:t>
      </w:r>
    </w:p>
    <w:p>
      <w:pPr>
        <w:pStyle w:val="5"/>
        <w:widowControl/>
        <w:spacing w:before="40" w:line="10" w:lineRule="atLeas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（二）加强进站作业日常管理</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属地市容环卫主管部门应加强进站作业日常管理，生活垃圾中转站管理人员需做好车辆入场检查，符合条件的才可进入中转站。推进垃圾中转站设立门禁系统建设，通过智慧化方式识别入场车辆，逐步将相关信息数据纳入丽水市垃圾分类信息化监管平台。</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各收集运输车辆，应做好进站作业和日常管理工作：</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（一）做好粘贴反光标识、加盖、密闭运输，严禁“滴洒漏”、拖挂等二次污染现象，保持车身干净整洁。严禁在未经报备的情况下，私自进行喷涂标志标识。</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（二）进站的垃圾收集车辆需严格遵守站内秩序，服从调度，严禁抢、超车。按照收集的生活垃圾种类到达中转站对应的分类卸料通道，在操作人员</w:t>
      </w:r>
      <w:bookmarkStart w:id="0" w:name="_GoBack"/>
      <w:bookmarkEnd w:id="0"/>
      <w:r>
        <w:rPr>
          <w:rFonts w:hint="eastAsia" w:ascii="仿宋_GB2312" w:hAnsi="Calibri" w:eastAsia="仿宋_GB2312" w:cs="Times New Roman"/>
          <w:sz w:val="32"/>
          <w:szCs w:val="32"/>
        </w:rPr>
        <w:t>的调度下将垃圾卸入指定区域(箱体)。</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(三)在确认垃圾完全倾倒干净后车辆需及时离场，严禁在场内外出入通道逗留。</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中转站管理人员发现车辆标准或者操作行为不符合法律法规规定的，应及时报告属地市容环卫主管部门，市容环卫主管部门应及时联系综合执法部门依法依规进行严肃查处。</w:t>
      </w:r>
    </w:p>
    <w:p>
      <w:pPr>
        <w:pStyle w:val="5"/>
        <w:widowControl/>
        <w:spacing w:before="40" w:line="10" w:lineRule="atLeast"/>
        <w:ind w:firstLine="320" w:firstLineChars="100"/>
        <w:jc w:val="left"/>
        <w:rPr>
          <w:rFonts w:ascii="微软雅黑" w:hAnsi="微软雅黑" w:eastAsia="微软雅黑" w:cs="微软雅黑"/>
          <w:color w:val="auto"/>
          <w:sz w:val="30"/>
          <w:szCs w:val="30"/>
        </w:rPr>
      </w:pPr>
      <w:r>
        <w:rPr>
          <w:rFonts w:hint="eastAsia" w:ascii="楷体_GB2312" w:hAnsi="楷体_GB2312" w:eastAsia="楷体_GB2312" w:cs="楷体_GB2312"/>
          <w:color w:val="auto"/>
          <w:sz w:val="32"/>
          <w:szCs w:val="32"/>
        </w:rPr>
        <w:t>(三)建立生活垃圾分类收集运输服务单位信用评价机制</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(一)按照《丽水市生活垃圾分类收集运输服务单位信用评价细则》，属地市容环卫主管部门对生活垃圾分类收集运输服务单位开展信用评价管理。</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二)服务单位信用评价实行评分制，分值为100分，周期为一个日历年。属地市容环卫主管部门应对辖区内的服务单位加强管理，发现存在《丽水市生活垃圾分类收集运输服务单位信用评价细则》中的问题时，下发书面的《整改通知单》要求其进行整改并实行动态扣分。当一个周期内服务单位信用评价分扣减至一定分值时，由属地市容环卫主管部门给予相应处理。</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1. 服务单位信用评价评分在70-79分时，由属地市容环卫主管部门约谈服务单位负责人；</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2. 服务单位信用评价评分在60-69分时，责令服务单位组织内部学习，组织学习情况须报备;</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3. 服务单位信用评价评分低于60分时，由属地市容环卫主管部门责令服务单位整改,整改期间不得承接新的生活垃圾分类收集运输项目，已承接的项目继续完成，整改完成后须形成整改报告并报市容环卫主管部门查验，合格后可恢复正常经营。</w:t>
      </w:r>
    </w:p>
    <w:p>
      <w:pPr>
        <w:spacing w:line="560" w:lineRule="exact"/>
        <w:ind w:left="1918" w:leftChars="304" w:hanging="1280" w:hangingChars="400"/>
        <w:rPr>
          <w:rFonts w:hint="eastAsia" w:ascii="仿宋_GB2312" w:hAnsi="Calibri" w:eastAsia="仿宋_GB2312" w:cs="Times New Roman"/>
          <w:sz w:val="32"/>
          <w:szCs w:val="32"/>
        </w:rPr>
      </w:pPr>
      <w:r>
        <w:rPr>
          <w:rFonts w:hint="eastAsia" w:ascii="仿宋_GB2312" w:hAnsi="Calibri" w:eastAsia="仿宋_GB2312" w:cs="Times New Roman"/>
          <w:sz w:val="32"/>
          <w:szCs w:val="32"/>
        </w:rPr>
        <w:t>附件1:生活垃圾收集车辆进入垃圾中转站申请表(示例)</w:t>
      </w:r>
    </w:p>
    <w:p>
      <w:pPr>
        <w:spacing w:line="560" w:lineRule="exact"/>
        <w:ind w:left="1597" w:leftChars="608" w:hanging="320" w:hangingChars="100"/>
        <w:rPr>
          <w:rFonts w:hint="eastAsia" w:ascii="仿宋_GB2312" w:hAnsi="Calibri" w:eastAsia="仿宋_GB2312" w:cs="Times New Roman"/>
          <w:sz w:val="32"/>
          <w:szCs w:val="32"/>
        </w:rPr>
      </w:pPr>
      <w:r>
        <w:rPr>
          <w:rFonts w:hint="eastAsia" w:ascii="仿宋_GB2312" w:hAnsi="Calibri" w:eastAsia="仿宋_GB2312" w:cs="Times New Roman"/>
          <w:sz w:val="32"/>
          <w:szCs w:val="32"/>
        </w:rPr>
        <w:t>2:生活垃圾收集车辆进入垃圾中转站备案登记表(示例)</w:t>
      </w:r>
    </w:p>
    <w:p>
      <w:pPr>
        <w:spacing w:line="560" w:lineRule="exact"/>
        <w:ind w:firstLine="1267" w:firstLineChars="396"/>
        <w:rPr>
          <w:rFonts w:hint="eastAsia" w:ascii="仿宋_GB2312" w:hAnsi="Calibri" w:eastAsia="仿宋_GB2312" w:cs="Times New Roman"/>
          <w:sz w:val="32"/>
          <w:szCs w:val="32"/>
        </w:rPr>
      </w:pPr>
      <w:r>
        <w:rPr>
          <w:rFonts w:hint="eastAsia" w:ascii="仿宋_GB2312" w:hAnsi="Calibri" w:eastAsia="仿宋_GB2312" w:cs="Times New Roman"/>
          <w:sz w:val="32"/>
          <w:szCs w:val="32"/>
        </w:rPr>
        <w:t>3：丽水市垃圾分类作业车辆视觉形象设计标准</w:t>
      </w:r>
    </w:p>
    <w:p>
      <w:pPr>
        <w:spacing w:line="560" w:lineRule="exact"/>
        <w:ind w:left="1923" w:leftChars="608" w:hanging="646" w:hangingChars="202"/>
        <w:rPr>
          <w:rFonts w:hint="eastAsia" w:ascii="仿宋_GB2312" w:hAnsi="Calibri" w:eastAsia="仿宋_GB2312" w:cs="Times New Roman"/>
          <w:sz w:val="32"/>
          <w:szCs w:val="32"/>
        </w:rPr>
      </w:pPr>
      <w:r>
        <w:rPr>
          <w:rFonts w:hint="eastAsia" w:ascii="仿宋_GB2312" w:hAnsi="Calibri" w:eastAsia="仿宋_GB2312" w:cs="Times New Roman"/>
          <w:sz w:val="32"/>
          <w:szCs w:val="32"/>
        </w:rPr>
        <w:t>4：丽水市生活垃圾分类收集运输服务单位信用评</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价细则</w:t>
      </w: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jc w:val="left"/>
        <w:rPr>
          <w:rFonts w:ascii="仿宋_GB2312" w:eastAsia="仿宋_GB2312"/>
          <w:color w:val="auto"/>
          <w:sz w:val="32"/>
          <w:szCs w:val="32"/>
        </w:rPr>
      </w:pPr>
      <w:r>
        <w:rPr>
          <w:rFonts w:hint="eastAsia" w:ascii="仿宋_GB2312" w:hAnsi="微软雅黑" w:eastAsia="仿宋_GB2312" w:cs="微软雅黑"/>
          <w:color w:val="auto"/>
          <w:sz w:val="32"/>
          <w:szCs w:val="32"/>
        </w:rPr>
        <w:t>附件1:</w:t>
      </w:r>
    </w:p>
    <w:p>
      <w:pPr>
        <w:pStyle w:val="5"/>
        <w:widowControl/>
        <w:spacing w:before="40" w:line="10" w:lineRule="atLeast"/>
        <w:jc w:val="center"/>
        <w:rPr>
          <w:rFonts w:ascii="仿宋_GB2312" w:hAnsi="微软雅黑" w:eastAsia="仿宋_GB2312" w:cs="微软雅黑"/>
          <w:color w:val="auto"/>
          <w:sz w:val="32"/>
          <w:szCs w:val="32"/>
        </w:rPr>
      </w:pPr>
      <w:r>
        <w:rPr>
          <w:rFonts w:hint="eastAsia" w:ascii="仿宋_GB2312" w:hAnsi="微软雅黑" w:eastAsia="仿宋_GB2312" w:cs="微软雅黑"/>
          <w:color w:val="auto"/>
          <w:sz w:val="32"/>
          <w:szCs w:val="32"/>
        </w:rPr>
        <w:t>生活垃圾收集车辆</w:t>
      </w:r>
      <w:r>
        <w:rPr>
          <w:rFonts w:hint="eastAsia" w:ascii="仿宋_GB2312" w:hAnsi="微软雅黑" w:eastAsia="仿宋_GB2312" w:cs="微软雅黑"/>
          <w:color w:val="auto"/>
          <w:sz w:val="32"/>
          <w:szCs w:val="32"/>
          <w:lang w:val="en-US" w:eastAsia="zh-CN"/>
        </w:rPr>
        <w:t>进入</w:t>
      </w:r>
      <w:r>
        <w:rPr>
          <w:rFonts w:hint="eastAsia" w:ascii="仿宋_GB2312" w:hAnsi="微软雅黑" w:eastAsia="仿宋_GB2312" w:cs="微软雅黑"/>
          <w:color w:val="auto"/>
          <w:sz w:val="32"/>
          <w:szCs w:val="32"/>
        </w:rPr>
        <w:t>垃圾中转站申请（变更）表</w:t>
      </w:r>
    </w:p>
    <w:p>
      <w:pPr>
        <w:pStyle w:val="5"/>
        <w:widowControl/>
        <w:spacing w:before="40" w:line="10" w:lineRule="atLeast"/>
        <w:ind w:left="520"/>
        <w:jc w:val="center"/>
        <w:rPr>
          <w:rFonts w:ascii="仿宋_GB2312" w:hAnsi="微软雅黑" w:eastAsia="仿宋_GB2312" w:cs="微软雅黑"/>
          <w:color w:val="auto"/>
          <w:sz w:val="32"/>
          <w:szCs w:val="32"/>
        </w:rPr>
      </w:pPr>
      <w:r>
        <w:rPr>
          <w:rFonts w:hint="eastAsia" w:ascii="仿宋_GB2312" w:hAnsi="微软雅黑" w:eastAsia="仿宋_GB2312" w:cs="微软雅黑"/>
          <w:color w:val="auto"/>
          <w:sz w:val="32"/>
          <w:szCs w:val="32"/>
        </w:rPr>
        <w:t>(示例)</w:t>
      </w:r>
    </w:p>
    <w:p>
      <w:pPr>
        <w:widowControl/>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申请单位:(盖章)</w:t>
      </w:r>
    </w:p>
    <w:tbl>
      <w:tblPr>
        <w:tblStyle w:val="6"/>
        <w:tblW w:w="4999" w:type="pct"/>
        <w:tblInd w:w="0" w:type="dxa"/>
        <w:tblLayout w:type="autofit"/>
        <w:tblCellMar>
          <w:top w:w="0" w:type="dxa"/>
          <w:left w:w="0" w:type="dxa"/>
          <w:bottom w:w="0" w:type="dxa"/>
          <w:right w:w="0" w:type="dxa"/>
        </w:tblCellMar>
      </w:tblPr>
      <w:tblGrid>
        <w:gridCol w:w="1666"/>
        <w:gridCol w:w="1667"/>
        <w:gridCol w:w="1667"/>
        <w:gridCol w:w="1667"/>
        <w:gridCol w:w="1667"/>
      </w:tblGrid>
      <w:tr>
        <w:tblPrEx>
          <w:tblCellMar>
            <w:top w:w="0" w:type="dxa"/>
            <w:left w:w="0" w:type="dxa"/>
            <w:bottom w:w="0" w:type="dxa"/>
            <w:right w:w="0" w:type="dxa"/>
          </w:tblCellMar>
        </w:tblPrEx>
        <w:trPr>
          <w:trHeight w:val="780" w:hRule="atLeast"/>
        </w:trPr>
        <w:tc>
          <w:tcPr>
            <w:tcW w:w="100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收集区域</w:t>
            </w:r>
          </w:p>
        </w:tc>
        <w:tc>
          <w:tcPr>
            <w:tcW w:w="10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依据（另附)</w:t>
            </w:r>
          </w:p>
        </w:tc>
        <w:tc>
          <w:tcPr>
            <w:tcW w:w="10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垃圾类型</w:t>
            </w:r>
          </w:p>
        </w:tc>
        <w:tc>
          <w:tcPr>
            <w:tcW w:w="10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申请车辆数</w:t>
            </w:r>
          </w:p>
        </w:tc>
        <w:tc>
          <w:tcPr>
            <w:tcW w:w="10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备注</w:t>
            </w: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xxx街道/道路</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如:中标通知书</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xxx社区（村)</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如:委托合同书</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xxx小区</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xxx单位</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280" w:firstLineChars="1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xxx企业</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bl>
    <w:p>
      <w:pPr>
        <w:pStyle w:val="5"/>
        <w:widowControl/>
        <w:spacing w:before="40" w:line="300" w:lineRule="atLeas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负责人：             联系方式：          申请时间：</w:t>
      </w:r>
    </w:p>
    <w:p>
      <w:pPr>
        <w:pStyle w:val="5"/>
        <w:widowControl/>
        <w:spacing w:before="40" w:line="300" w:lineRule="atLeast"/>
        <w:jc w:val="left"/>
        <w:rPr>
          <w:rFonts w:ascii="仿宋_GB2312" w:hAnsi="仿宋_GB2312" w:eastAsia="仿宋_GB2312" w:cs="仿宋_GB2312"/>
          <w:color w:val="auto"/>
          <w:sz w:val="28"/>
          <w:szCs w:val="28"/>
        </w:rPr>
      </w:pPr>
      <w:r>
        <w:rPr>
          <w:rFonts w:hint="eastAsia" w:ascii="仿宋_GB2312" w:hAnsi="微软雅黑" w:eastAsia="仿宋_GB2312" w:cs="微软雅黑"/>
          <w:color w:val="auto"/>
          <w:sz w:val="28"/>
          <w:szCs w:val="28"/>
        </w:rPr>
        <w:t>备注:</w:t>
      </w:r>
      <w:r>
        <w:rPr>
          <w:rFonts w:hint="eastAsia" w:ascii="仿宋_GB2312" w:hAnsi="仿宋_GB2312" w:eastAsia="仿宋_GB2312" w:cs="仿宋_GB2312"/>
          <w:color w:val="auto"/>
          <w:sz w:val="28"/>
          <w:szCs w:val="28"/>
        </w:rPr>
        <w:t>1.本表由垃圾收集车辆权属单位填写。</w:t>
      </w: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2.相关依据需随本申请表同时附送，否则申请无效。</w:t>
      </w: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3.本表提供主要申请内容参考，各地可结合实际做适当调整。</w:t>
      </w: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4.信息有误或企业车辆信息发生变化，需要变更的，使用本表，变更的内容在备注中注明。</w:t>
      </w:r>
    </w:p>
    <w:p>
      <w:pPr>
        <w:pStyle w:val="5"/>
        <w:widowControl/>
        <w:spacing w:before="40" w:line="10" w:lineRule="atLeast"/>
        <w:ind w:left="520"/>
        <w:jc w:val="left"/>
        <w:rPr>
          <w:rFonts w:ascii="微软雅黑" w:hAnsi="微软雅黑" w:eastAsia="微软雅黑" w:cs="微软雅黑"/>
          <w:color w:val="auto"/>
          <w:sz w:val="30"/>
          <w:szCs w:val="30"/>
        </w:rPr>
      </w:pPr>
    </w:p>
    <w:p>
      <w:pPr>
        <w:pStyle w:val="5"/>
        <w:widowControl/>
        <w:spacing w:before="40" w:line="10" w:lineRule="atLeast"/>
        <w:ind w:left="520"/>
        <w:jc w:val="left"/>
        <w:rPr>
          <w:rFonts w:ascii="微软雅黑" w:hAnsi="微软雅黑" w:eastAsia="微软雅黑" w:cs="微软雅黑"/>
          <w:color w:val="auto"/>
          <w:sz w:val="30"/>
          <w:szCs w:val="30"/>
        </w:rPr>
      </w:pPr>
    </w:p>
    <w:p>
      <w:pPr>
        <w:pStyle w:val="5"/>
        <w:widowControl/>
        <w:spacing w:before="40" w:line="10" w:lineRule="atLeast"/>
        <w:jc w:val="left"/>
        <w:rPr>
          <w:rFonts w:ascii="仿宋_GB2312" w:eastAsia="仿宋_GB2312"/>
          <w:color w:val="auto"/>
          <w:sz w:val="32"/>
          <w:szCs w:val="32"/>
        </w:rPr>
      </w:pPr>
      <w:r>
        <w:rPr>
          <w:rFonts w:hint="eastAsia" w:ascii="仿宋_GB2312" w:hAnsi="微软雅黑" w:eastAsia="仿宋_GB2312" w:cs="微软雅黑"/>
          <w:color w:val="auto"/>
          <w:sz w:val="32"/>
          <w:szCs w:val="32"/>
        </w:rPr>
        <w:t>附件2:</w:t>
      </w:r>
    </w:p>
    <w:p>
      <w:pPr>
        <w:pStyle w:val="5"/>
        <w:widowControl/>
        <w:spacing w:before="40" w:line="300" w:lineRule="atLeast"/>
        <w:ind w:left="520"/>
        <w:jc w:val="left"/>
        <w:rPr>
          <w:rFonts w:hint="eastAsia" w:ascii="仿宋_GB2312" w:hAnsi="微软雅黑" w:eastAsia="仿宋_GB2312" w:cs="微软雅黑"/>
          <w:color w:val="auto"/>
          <w:sz w:val="32"/>
          <w:szCs w:val="32"/>
        </w:rPr>
      </w:pPr>
      <w:r>
        <w:rPr>
          <w:rFonts w:hint="eastAsia" w:ascii="仿宋_GB2312" w:hAnsi="微软雅黑" w:eastAsia="仿宋_GB2312" w:cs="微软雅黑"/>
          <w:color w:val="auto"/>
          <w:sz w:val="32"/>
          <w:szCs w:val="32"/>
        </w:rPr>
        <w:t>生活垃圾收集车辆</w:t>
      </w:r>
      <w:r>
        <w:rPr>
          <w:rFonts w:hint="eastAsia" w:ascii="仿宋_GB2312" w:hAnsi="微软雅黑" w:eastAsia="仿宋_GB2312" w:cs="微软雅黑"/>
          <w:color w:val="auto"/>
          <w:sz w:val="32"/>
          <w:szCs w:val="32"/>
          <w:lang w:val="en-US" w:eastAsia="zh-CN"/>
        </w:rPr>
        <w:t>进入</w:t>
      </w:r>
      <w:r>
        <w:rPr>
          <w:rFonts w:hint="eastAsia" w:ascii="仿宋_GB2312" w:hAnsi="微软雅黑" w:eastAsia="仿宋_GB2312" w:cs="微软雅黑"/>
          <w:color w:val="auto"/>
          <w:sz w:val="32"/>
          <w:szCs w:val="32"/>
        </w:rPr>
        <w:t>垃圾中转站备案登记表(示例)</w:t>
      </w:r>
    </w:p>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tbl>
      <w:tblPr>
        <w:tblStyle w:val="6"/>
        <w:tblW w:w="5389" w:type="pct"/>
        <w:tblInd w:w="-388" w:type="dxa"/>
        <w:tblLayout w:type="autofit"/>
        <w:tblCellMar>
          <w:top w:w="0" w:type="dxa"/>
          <w:left w:w="0" w:type="dxa"/>
          <w:bottom w:w="0" w:type="dxa"/>
          <w:right w:w="0" w:type="dxa"/>
        </w:tblCellMar>
      </w:tblPr>
      <w:tblGrid>
        <w:gridCol w:w="1764"/>
        <w:gridCol w:w="1473"/>
        <w:gridCol w:w="1280"/>
        <w:gridCol w:w="1629"/>
        <w:gridCol w:w="1401"/>
        <w:gridCol w:w="1438"/>
      </w:tblGrid>
      <w:tr>
        <w:tblPrEx>
          <w:tblCellMar>
            <w:top w:w="0" w:type="dxa"/>
            <w:left w:w="0" w:type="dxa"/>
            <w:bottom w:w="0" w:type="dxa"/>
            <w:right w:w="0" w:type="dxa"/>
          </w:tblCellMar>
        </w:tblPrEx>
        <w:trPr>
          <w:trHeight w:val="780" w:hRule="atLeast"/>
        </w:trPr>
        <w:tc>
          <w:tcPr>
            <w:tcW w:w="9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申领单位</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车牌编号</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准入中转</w:t>
            </w:r>
            <w:r>
              <w:rPr>
                <w:rFonts w:hint="eastAsia" w:ascii="宋体" w:hAnsi="宋体" w:eastAsia="宋体" w:cs="宋体"/>
                <w:b/>
                <w:color w:val="auto"/>
                <w:kern w:val="0"/>
                <w:sz w:val="24"/>
                <w:u w:val="single"/>
              </w:rPr>
              <w:t>站</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收集区域</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垃圾种类</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联系人</w:t>
            </w:r>
          </w:p>
        </w:tc>
      </w:tr>
      <w:tr>
        <w:tblPrEx>
          <w:tblCellMar>
            <w:top w:w="0" w:type="dxa"/>
            <w:left w:w="0" w:type="dxa"/>
            <w:bottom w:w="0" w:type="dxa"/>
            <w:right w:w="0" w:type="dxa"/>
          </w:tblCellMar>
        </w:tblPrEx>
        <w:trPr>
          <w:trHeight w:val="1260" w:hRule="atLeast"/>
        </w:trPr>
        <w:tc>
          <w:tcPr>
            <w:tcW w:w="9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xxx保洁公司/物</w:t>
            </w:r>
            <w:r>
              <w:rPr>
                <w:rStyle w:val="8"/>
                <w:rFonts w:eastAsia="宋体"/>
                <w:color w:val="auto"/>
              </w:rPr>
              <w:br w:type="textWrapping"/>
            </w:r>
            <w:r>
              <w:rPr>
                <w:rStyle w:val="8"/>
                <w:rFonts w:eastAsia="宋体"/>
                <w:color w:val="auto"/>
              </w:rPr>
              <w:t>业公司</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例</w:t>
            </w:r>
            <w:r>
              <w:rPr>
                <w:rStyle w:val="8"/>
                <w:rFonts w:eastAsia="宋体"/>
                <w:color w:val="auto"/>
              </w:rPr>
              <w:t>:</w:t>
            </w:r>
            <w:r>
              <w:rPr>
                <w:rStyle w:val="9"/>
                <w:rFonts w:hint="default"/>
                <w:color w:val="auto"/>
              </w:rPr>
              <w:t>莲运</w:t>
            </w:r>
            <w:r>
              <w:rPr>
                <w:rStyle w:val="8"/>
                <w:rFonts w:eastAsia="宋体"/>
                <w:color w:val="auto"/>
              </w:rPr>
              <w:t>-</w:t>
            </w:r>
            <w:r>
              <w:rPr>
                <w:rStyle w:val="8"/>
                <w:rFonts w:hint="eastAsia" w:eastAsia="宋体"/>
                <w:color w:val="auto"/>
                <w:lang w:val="en-US" w:eastAsia="zh-CN"/>
              </w:rPr>
              <w:t>0</w:t>
            </w:r>
            <w:r>
              <w:rPr>
                <w:rStyle w:val="8"/>
                <w:rFonts w:eastAsia="宋体"/>
                <w:color w:val="auto"/>
              </w:rPr>
              <w:t>001</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xx街道/小区/</w:t>
            </w:r>
            <w:r>
              <w:rPr>
                <w:rStyle w:val="8"/>
                <w:rFonts w:eastAsia="宋体"/>
                <w:color w:val="auto"/>
              </w:rPr>
              <w:br w:type="textWrapping"/>
            </w:r>
            <w:r>
              <w:rPr>
                <w:rStyle w:val="8"/>
                <w:rFonts w:eastAsia="宋体"/>
                <w:color w:val="auto"/>
              </w:rPr>
              <w:t>商场/单</w:t>
            </w:r>
            <w:r>
              <w:rPr>
                <w:rStyle w:val="8"/>
                <w:rFonts w:eastAsia="宋体"/>
                <w:color w:val="auto"/>
              </w:rPr>
              <w:br w:type="textWrapping"/>
            </w:r>
            <w:r>
              <w:rPr>
                <w:rStyle w:val="8"/>
                <w:rFonts w:eastAsia="宋体"/>
                <w:color w:val="auto"/>
              </w:rPr>
              <w:t>位....</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其他垃圾/</w:t>
            </w:r>
            <w:r>
              <w:rPr>
                <w:rStyle w:val="8"/>
                <w:rFonts w:eastAsia="宋体"/>
                <w:color w:val="auto"/>
              </w:rPr>
              <w:br w:type="textWrapping"/>
            </w:r>
            <w:r>
              <w:rPr>
                <w:rStyle w:val="8"/>
                <w:rFonts w:eastAsia="宋体"/>
                <w:color w:val="auto"/>
              </w:rPr>
              <w:t>易腐垃圾</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r>
      <w:tr>
        <w:tblPrEx>
          <w:tblCellMar>
            <w:top w:w="0" w:type="dxa"/>
            <w:left w:w="0" w:type="dxa"/>
            <w:bottom w:w="0" w:type="dxa"/>
            <w:right w:w="0" w:type="dxa"/>
          </w:tblCellMar>
        </w:tblPrEx>
        <w:trPr>
          <w:trHeight w:val="766" w:hRule="atLeast"/>
        </w:trPr>
        <w:tc>
          <w:tcPr>
            <w:tcW w:w="9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莲运</w:t>
            </w:r>
            <w:r>
              <w:rPr>
                <w:rStyle w:val="8"/>
                <w:rFonts w:eastAsia="宋体"/>
                <w:color w:val="auto"/>
              </w:rPr>
              <w:t>-</w:t>
            </w:r>
            <w:r>
              <w:rPr>
                <w:rStyle w:val="8"/>
                <w:rFonts w:hint="eastAsia" w:eastAsia="宋体"/>
                <w:color w:val="auto"/>
                <w:lang w:val="en-US" w:eastAsia="zh-CN"/>
              </w:rPr>
              <w:t>0</w:t>
            </w:r>
            <w:r>
              <w:rPr>
                <w:rStyle w:val="8"/>
                <w:rFonts w:eastAsia="宋体"/>
                <w:color w:val="auto"/>
              </w:rPr>
              <w:t>002</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r>
      <w:tr>
        <w:tblPrEx>
          <w:tblCellMar>
            <w:top w:w="0" w:type="dxa"/>
            <w:left w:w="0" w:type="dxa"/>
            <w:bottom w:w="0" w:type="dxa"/>
            <w:right w:w="0" w:type="dxa"/>
          </w:tblCellMar>
        </w:tblPrEx>
        <w:trPr>
          <w:trHeight w:val="679" w:hRule="atLeast"/>
        </w:trPr>
        <w:tc>
          <w:tcPr>
            <w:tcW w:w="9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Calibri" w:hAnsi="Calibri" w:eastAsia="宋体" w:cs="Calibri"/>
                <w:color w:val="auto"/>
                <w:sz w:val="9"/>
                <w:szCs w:val="9"/>
              </w:rPr>
            </w:pPr>
            <w:r>
              <w:rPr>
                <w:rFonts w:ascii="Calibri" w:hAnsi="Calibri" w:eastAsia="宋体" w:cs="Calibri"/>
                <w:color w:val="auto"/>
                <w:kern w:val="0"/>
                <w:sz w:val="9"/>
                <w:szCs w:val="9"/>
              </w:rPr>
              <w:t>. . ....</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r>
    </w:tbl>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备注:1.本表由属地环卫主管部门根据申请单位填写的申请表内容(附录1)，对检验合格，达到密闭、分类等相关要求的车辆进行备案登记。</w:t>
      </w: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2.标志标识需以“各县（市、区）简称+运+序号”格式统一编号，各地的车辆均以“</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001”号起编。如:莲运-</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001，莲运-</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002，莲运-</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003......</w:t>
      </w:r>
    </w:p>
    <w:p>
      <w:pPr>
        <w:pStyle w:val="5"/>
        <w:widowControl/>
        <w:spacing w:before="40" w:line="300" w:lineRule="atLeast"/>
        <w:ind w:firstLine="560" w:firstLineChars="200"/>
        <w:jc w:val="left"/>
        <w:rPr>
          <w:color w:val="auto"/>
        </w:rPr>
      </w:pPr>
      <w:r>
        <w:rPr>
          <w:rFonts w:hint="eastAsia" w:ascii="仿宋_GB2312" w:hAnsi="仿宋_GB2312" w:eastAsia="仿宋_GB2312" w:cs="仿宋_GB2312"/>
          <w:color w:val="auto"/>
          <w:sz w:val="28"/>
          <w:szCs w:val="28"/>
        </w:rPr>
        <w:t>3.本表提供主要备案内容参考，各区可结合实际做适当增减。</w:t>
      </w:r>
    </w:p>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p>
      <w:pPr>
        <w:widowControl/>
        <w:jc w:val="left"/>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br w:type="page"/>
      </w:r>
    </w:p>
    <w:p>
      <w:pPr>
        <w:pStyle w:val="5"/>
        <w:widowControl/>
        <w:spacing w:before="40" w:line="300" w:lineRule="atLeast"/>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附件4：</w:t>
      </w:r>
    </w:p>
    <w:p>
      <w:pPr>
        <w:pStyle w:val="5"/>
        <w:widowControl/>
        <w:spacing w:before="40" w:line="300" w:lineRule="atLeast"/>
        <w:ind w:left="520"/>
        <w:jc w:val="center"/>
        <w:rPr>
          <w:rFonts w:ascii="仿宋_GB2312" w:hAnsi="微软雅黑" w:eastAsia="仿宋_GB2312" w:cs="微软雅黑"/>
          <w:color w:val="auto"/>
          <w:sz w:val="32"/>
          <w:szCs w:val="32"/>
        </w:rPr>
      </w:pPr>
      <w:r>
        <w:rPr>
          <w:rFonts w:hint="eastAsia" w:ascii="仿宋_GB2312" w:hAnsi="宋体" w:eastAsia="仿宋_GB2312" w:cs="宋体"/>
          <w:color w:val="auto"/>
          <w:kern w:val="0"/>
          <w:sz w:val="32"/>
          <w:szCs w:val="32"/>
        </w:rPr>
        <w:t>丽水市生活垃圾分类收集运输服务单位信用评价细则</w:t>
      </w:r>
    </w:p>
    <w:tbl>
      <w:tblPr>
        <w:tblStyle w:val="6"/>
        <w:tblW w:w="5086" w:type="pct"/>
        <w:tblInd w:w="0" w:type="dxa"/>
        <w:tblLayout w:type="autofit"/>
        <w:tblCellMar>
          <w:top w:w="0" w:type="dxa"/>
          <w:left w:w="0" w:type="dxa"/>
          <w:bottom w:w="0" w:type="dxa"/>
          <w:right w:w="0" w:type="dxa"/>
        </w:tblCellMar>
      </w:tblPr>
      <w:tblGrid>
        <w:gridCol w:w="813"/>
        <w:gridCol w:w="1081"/>
        <w:gridCol w:w="3202"/>
        <w:gridCol w:w="3383"/>
      </w:tblGrid>
      <w:tr>
        <w:tblPrEx>
          <w:tblCellMar>
            <w:top w:w="0" w:type="dxa"/>
            <w:left w:w="0" w:type="dxa"/>
            <w:bottom w:w="0" w:type="dxa"/>
            <w:right w:w="0" w:type="dxa"/>
          </w:tblCellMar>
        </w:tblPrEx>
        <w:trPr>
          <w:trHeight w:val="768" w:hRule="atLeast"/>
        </w:trPr>
        <w:tc>
          <w:tcPr>
            <w:tcW w:w="47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序号</w:t>
            </w:r>
          </w:p>
        </w:tc>
        <w:tc>
          <w:tcPr>
            <w:tcW w:w="6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检查项目</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标准</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评价标准</w:t>
            </w:r>
          </w:p>
        </w:tc>
      </w:tr>
      <w:tr>
        <w:tblPrEx>
          <w:tblCellMar>
            <w:top w:w="0" w:type="dxa"/>
            <w:left w:w="0" w:type="dxa"/>
            <w:bottom w:w="0" w:type="dxa"/>
            <w:right w:w="0" w:type="dxa"/>
          </w:tblCellMar>
        </w:tblPrEx>
        <w:trPr>
          <w:trHeight w:val="1280" w:hRule="atLeast"/>
        </w:trPr>
        <w:tc>
          <w:tcPr>
            <w:tcW w:w="479" w:type="pc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一</w:t>
            </w:r>
          </w:p>
        </w:tc>
        <w:tc>
          <w:tcPr>
            <w:tcW w:w="6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制度台账</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行政、安全生产、车辆设备及保洁、教育培训等内部管理制度；日常作业台账。</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未制定或完善企业内部相应管理制度的，每项扣2分；未做好日常作业台账的，扣2分。</w:t>
            </w:r>
          </w:p>
        </w:tc>
      </w:tr>
      <w:tr>
        <w:tblPrEx>
          <w:tblCellMar>
            <w:top w:w="0" w:type="dxa"/>
            <w:left w:w="0" w:type="dxa"/>
            <w:bottom w:w="0" w:type="dxa"/>
            <w:right w:w="0" w:type="dxa"/>
          </w:tblCellMar>
        </w:tblPrEx>
        <w:trPr>
          <w:trHeight w:val="820" w:hRule="atLeast"/>
        </w:trPr>
        <w:tc>
          <w:tcPr>
            <w:tcW w:w="47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二</w:t>
            </w:r>
          </w:p>
        </w:tc>
        <w:tc>
          <w:tcPr>
            <w:tcW w:w="637"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车辆设备</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车辆严禁挂靠,必须在服务区域内作业。</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挂靠车辆和跨区域作业，每发现一辆扣2分。</w:t>
            </w:r>
          </w:p>
        </w:tc>
      </w:tr>
      <w:tr>
        <w:tblPrEx>
          <w:tblCellMar>
            <w:top w:w="0" w:type="dxa"/>
            <w:left w:w="0" w:type="dxa"/>
            <w:bottom w:w="0" w:type="dxa"/>
            <w:right w:w="0" w:type="dxa"/>
          </w:tblCellMar>
        </w:tblPrEx>
        <w:trPr>
          <w:trHeight w:val="845"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车辆变化情况及时报各区环卫主管部门登记。</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未及时登记的，每发现一辆扣2分。</w:t>
            </w:r>
          </w:p>
        </w:tc>
      </w:tr>
      <w:tr>
        <w:tblPrEx>
          <w:tblCellMar>
            <w:top w:w="0" w:type="dxa"/>
            <w:left w:w="0" w:type="dxa"/>
            <w:bottom w:w="0" w:type="dxa"/>
            <w:right w:w="0" w:type="dxa"/>
          </w:tblCellMar>
        </w:tblPrEx>
        <w:trPr>
          <w:trHeight w:val="858"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生活垃圾分类密闭运输专用车辆，严禁私自改装。</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非专用车辆或私自改装,每发现一辆扣2分。</w:t>
            </w:r>
          </w:p>
        </w:tc>
      </w:tr>
      <w:tr>
        <w:tblPrEx>
          <w:tblCellMar>
            <w:top w:w="0" w:type="dxa"/>
            <w:left w:w="0" w:type="dxa"/>
            <w:bottom w:w="0" w:type="dxa"/>
            <w:right w:w="0" w:type="dxa"/>
          </w:tblCellMar>
        </w:tblPrEx>
        <w:trPr>
          <w:trHeight w:val="1560"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运输车辆按照垃圾分类要求,统一喷印单位名称、车辆编号、分类标志，粘贴反光标贴，机动车要安装具有反光功能的放大号牌。</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未统一喷印单位名称、车辆编号、分类标志，粘贴反光标贴，未安装具有反光功能的放大号牌的,每发现一辆扣2分。</w:t>
            </w:r>
          </w:p>
        </w:tc>
      </w:tr>
      <w:tr>
        <w:tblPrEx>
          <w:tblCellMar>
            <w:top w:w="0" w:type="dxa"/>
            <w:left w:w="0" w:type="dxa"/>
            <w:bottom w:w="0" w:type="dxa"/>
            <w:right w:w="0" w:type="dxa"/>
          </w:tblCellMar>
        </w:tblPrEx>
        <w:trPr>
          <w:trHeight w:val="1402"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安装符合国家标准的卫星定位系统、行车及装卸记录仪等设备，相应数据信息接入丽水市垃圾分类智慧监管平台。</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未安装卫星定位系统、行车及装卸记录仪的，每发现一辆扣1分;未接入丽水市垃圾分类智慧监管平台，每发现一辆扣2分。</w:t>
            </w:r>
          </w:p>
        </w:tc>
      </w:tr>
      <w:tr>
        <w:tblPrEx>
          <w:tblCellMar>
            <w:top w:w="0" w:type="dxa"/>
            <w:left w:w="0" w:type="dxa"/>
            <w:bottom w:w="0" w:type="dxa"/>
            <w:right w:w="0" w:type="dxa"/>
          </w:tblCellMar>
        </w:tblPrEx>
        <w:trPr>
          <w:trHeight w:val="1860" w:hRule="atLeast"/>
        </w:trPr>
        <w:tc>
          <w:tcPr>
            <w:tcW w:w="47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三</w:t>
            </w:r>
          </w:p>
        </w:tc>
        <w:tc>
          <w:tcPr>
            <w:tcW w:w="637"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运行作业</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按规定时间、路线收集运输所属责任范围内的垃圾，做到不漏点、不漏倒、不混装,做到垃圾日产日清，不堆积。</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未按规定时间、路线收集运输所属责任范围内垃圾的，每发现一车次扣2分;收运车辆未作业做到不漏点、不漏倒、不混装的，每项扣5分;垃圾集收点未做到垃圾曰产日清，有堆积，每发现次扣1分。</w:t>
            </w:r>
          </w:p>
        </w:tc>
      </w:tr>
      <w:tr>
        <w:tblPrEx>
          <w:tblCellMar>
            <w:top w:w="0" w:type="dxa"/>
            <w:left w:w="0" w:type="dxa"/>
            <w:bottom w:w="0" w:type="dxa"/>
            <w:right w:w="0" w:type="dxa"/>
          </w:tblCellMar>
        </w:tblPrEx>
        <w:trPr>
          <w:trHeight w:val="1200"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做好车辆外观整洁，密闭化运输，做到无垃圾抛洒、无污水滴漏，车箱外无吊挂。</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未密闭化运输，每发现一次扣2分；车辆外观不整洁，车上外挂或跑冒滴弱，每发现一次扣2分。</w:t>
            </w:r>
          </w:p>
        </w:tc>
      </w:tr>
      <w:tr>
        <w:tblPrEx>
          <w:tblCellMar>
            <w:top w:w="0" w:type="dxa"/>
            <w:left w:w="0" w:type="dxa"/>
            <w:bottom w:w="0" w:type="dxa"/>
            <w:right w:w="0" w:type="dxa"/>
          </w:tblCellMar>
        </w:tblPrEx>
        <w:trPr>
          <w:trHeight w:val="702"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服从中转站、垃圾镇埋场、垃圾焚烧厂的管理。</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未按现场管理人员要求装载、倾倒垃圾的，每次扣2分。</w:t>
            </w:r>
          </w:p>
        </w:tc>
      </w:tr>
      <w:tr>
        <w:tblPrEx>
          <w:tblCellMar>
            <w:top w:w="0" w:type="dxa"/>
            <w:left w:w="0" w:type="dxa"/>
            <w:bottom w:w="0" w:type="dxa"/>
            <w:right w:w="0" w:type="dxa"/>
          </w:tblCellMar>
        </w:tblPrEx>
        <w:trPr>
          <w:trHeight w:val="995" w:hRule="atLeast"/>
        </w:trPr>
        <w:tc>
          <w:tcPr>
            <w:tcW w:w="47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四</w:t>
            </w:r>
          </w:p>
        </w:tc>
        <w:tc>
          <w:tcPr>
            <w:tcW w:w="6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应急抢险</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事故应急预案和事故抢险抢修预案。</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未制定事故应急预案和事故抢险抢修预案的，每项扣2分。</w:t>
            </w:r>
          </w:p>
        </w:tc>
      </w:tr>
      <w:tr>
        <w:tblPrEx>
          <w:tblCellMar>
            <w:top w:w="0" w:type="dxa"/>
            <w:left w:w="0" w:type="dxa"/>
            <w:bottom w:w="0" w:type="dxa"/>
            <w:right w:w="0" w:type="dxa"/>
          </w:tblCellMar>
        </w:tblPrEx>
        <w:trPr>
          <w:trHeight w:val="995" w:hRule="atLeast"/>
        </w:trPr>
        <w:tc>
          <w:tcPr>
            <w:tcW w:w="47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4"/>
              </w:rPr>
            </w:pPr>
            <w:r>
              <w:rPr>
                <w:rFonts w:hint="eastAsia" w:ascii="宋体" w:hAnsi="宋体" w:eastAsia="宋体" w:cs="宋体"/>
                <w:color w:val="auto"/>
                <w:kern w:val="0"/>
                <w:sz w:val="24"/>
              </w:rPr>
              <w:t>五</w:t>
            </w:r>
          </w:p>
        </w:tc>
        <w:tc>
          <w:tcPr>
            <w:tcW w:w="6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4"/>
              </w:rPr>
            </w:pPr>
            <w:r>
              <w:rPr>
                <w:rFonts w:hint="eastAsia" w:ascii="宋体" w:hAnsi="宋体" w:eastAsia="宋体" w:cs="宋体"/>
                <w:color w:val="auto"/>
                <w:kern w:val="0"/>
                <w:sz w:val="24"/>
              </w:rPr>
              <w:t>其他</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4"/>
              </w:rPr>
            </w:pPr>
            <w:r>
              <w:rPr>
                <w:rFonts w:hint="eastAsia" w:ascii="宋体" w:hAnsi="宋体" w:eastAsia="宋体" w:cs="宋体"/>
                <w:color w:val="auto"/>
                <w:kern w:val="0"/>
                <w:sz w:val="24"/>
              </w:rPr>
              <w:t>按照市容环卫主管部门要求做好问题整改工作。按照法律法规做好分类收集有关工作。</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4"/>
              </w:rPr>
            </w:pPr>
            <w:r>
              <w:rPr>
                <w:rFonts w:hint="eastAsia" w:ascii="宋体" w:hAnsi="宋体" w:eastAsia="宋体" w:cs="宋体"/>
                <w:color w:val="auto"/>
                <w:kern w:val="0"/>
                <w:sz w:val="24"/>
              </w:rPr>
              <w:t>对于属地市容环卫主管部门下发的《整改通知单》，未按照要求进行整改的，每次扣5分；因生活垃圾分类收集运输服务工作被行政处罚的，每起扣10分。</w:t>
            </w:r>
          </w:p>
          <w:p>
            <w:pPr>
              <w:widowControl/>
              <w:jc w:val="left"/>
              <w:textAlignment w:val="center"/>
              <w:rPr>
                <w:rFonts w:ascii="宋体" w:hAnsi="宋体" w:eastAsia="宋体" w:cs="宋体"/>
                <w:color w:val="auto"/>
                <w:kern w:val="0"/>
                <w:sz w:val="24"/>
              </w:rPr>
            </w:pPr>
          </w:p>
        </w:tc>
      </w:tr>
    </w:tbl>
    <w:p>
      <w:pPr>
        <w:tabs>
          <w:tab w:val="left" w:pos="778"/>
        </w:tabs>
        <w:jc w:val="left"/>
        <w:rPr>
          <w:rFonts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5D7E"/>
    <w:rsid w:val="000046B3"/>
    <w:rsid w:val="00011BC0"/>
    <w:rsid w:val="00013559"/>
    <w:rsid w:val="000252A2"/>
    <w:rsid w:val="00041CC2"/>
    <w:rsid w:val="00054FC4"/>
    <w:rsid w:val="000C63DD"/>
    <w:rsid w:val="00145A99"/>
    <w:rsid w:val="00182812"/>
    <w:rsid w:val="001A5722"/>
    <w:rsid w:val="001B640A"/>
    <w:rsid w:val="001C2099"/>
    <w:rsid w:val="001D152E"/>
    <w:rsid w:val="001F0385"/>
    <w:rsid w:val="00205FCF"/>
    <w:rsid w:val="00212651"/>
    <w:rsid w:val="00216BCB"/>
    <w:rsid w:val="00226C65"/>
    <w:rsid w:val="00244A70"/>
    <w:rsid w:val="00255EF6"/>
    <w:rsid w:val="002745DD"/>
    <w:rsid w:val="00277106"/>
    <w:rsid w:val="003231F7"/>
    <w:rsid w:val="00392562"/>
    <w:rsid w:val="004D770C"/>
    <w:rsid w:val="004D7A26"/>
    <w:rsid w:val="004F0BBA"/>
    <w:rsid w:val="00594EB0"/>
    <w:rsid w:val="00607B64"/>
    <w:rsid w:val="00620117"/>
    <w:rsid w:val="006809CC"/>
    <w:rsid w:val="00695F22"/>
    <w:rsid w:val="006A3692"/>
    <w:rsid w:val="006B68DE"/>
    <w:rsid w:val="006D735D"/>
    <w:rsid w:val="006E5091"/>
    <w:rsid w:val="006F7F91"/>
    <w:rsid w:val="00786068"/>
    <w:rsid w:val="008231FD"/>
    <w:rsid w:val="008478C4"/>
    <w:rsid w:val="00884EC1"/>
    <w:rsid w:val="00894A0F"/>
    <w:rsid w:val="008E75E9"/>
    <w:rsid w:val="008F1A33"/>
    <w:rsid w:val="00960650"/>
    <w:rsid w:val="00981F0E"/>
    <w:rsid w:val="00A165F5"/>
    <w:rsid w:val="00A9362F"/>
    <w:rsid w:val="00A95D7E"/>
    <w:rsid w:val="00B53649"/>
    <w:rsid w:val="00B93AA0"/>
    <w:rsid w:val="00B96F4F"/>
    <w:rsid w:val="00C3203E"/>
    <w:rsid w:val="00C41D1B"/>
    <w:rsid w:val="00D70DB2"/>
    <w:rsid w:val="00E402CF"/>
    <w:rsid w:val="00E73B9F"/>
    <w:rsid w:val="00EB0C37"/>
    <w:rsid w:val="00F2657A"/>
    <w:rsid w:val="00FA1444"/>
    <w:rsid w:val="00FC7DB3"/>
    <w:rsid w:val="00FF220F"/>
    <w:rsid w:val="02CB0732"/>
    <w:rsid w:val="0399543E"/>
    <w:rsid w:val="05E12D19"/>
    <w:rsid w:val="19FE5B93"/>
    <w:rsid w:val="1C69712F"/>
    <w:rsid w:val="2A5B3497"/>
    <w:rsid w:val="3BE96BC3"/>
    <w:rsid w:val="3D152658"/>
    <w:rsid w:val="44314C78"/>
    <w:rsid w:val="464942C3"/>
    <w:rsid w:val="51C912CC"/>
    <w:rsid w:val="54711051"/>
    <w:rsid w:val="599854C5"/>
    <w:rsid w:val="61A6797C"/>
    <w:rsid w:val="7804576A"/>
    <w:rsid w:val="7A811F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font21"/>
    <w:basedOn w:val="7"/>
    <w:qFormat/>
    <w:uiPriority w:val="0"/>
    <w:rPr>
      <w:rFonts w:hint="default" w:ascii="Calibri" w:hAnsi="Calibri" w:cs="Calibri"/>
      <w:color w:val="000000"/>
      <w:sz w:val="24"/>
      <w:szCs w:val="24"/>
      <w:u w:val="none"/>
    </w:rPr>
  </w:style>
  <w:style w:type="character" w:customStyle="1" w:styleId="9">
    <w:name w:val="font41"/>
    <w:basedOn w:val="7"/>
    <w:qFormat/>
    <w:uiPriority w:val="0"/>
    <w:rPr>
      <w:rFonts w:hint="eastAsia" w:ascii="宋体" w:hAnsi="宋体" w:eastAsia="宋体" w:cs="宋体"/>
      <w:color w:val="000000"/>
      <w:sz w:val="24"/>
      <w:szCs w:val="24"/>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558</Words>
  <Characters>3182</Characters>
  <Lines>26</Lines>
  <Paragraphs>7</Paragraphs>
  <TotalTime>41</TotalTime>
  <ScaleCrop>false</ScaleCrop>
  <LinksUpToDate>false</LinksUpToDate>
  <CharactersWithSpaces>3733</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2022-01-14T02:49:00Z</dcterms:created>
  <dc:creator>Administrator</dc:creator>
  <cp:lastModifiedBy>Administrator</cp:lastModifiedBy>
  <cp:lastPrinted>2022-03-01T03:54:00Z</cp:lastPrinted>
  <dcterms:modified xsi:type="dcterms:W3CDTF">2022-04-27T06:47:56Z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